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42F69" w14:textId="77777777" w:rsidR="00694C59" w:rsidRPr="00694C59" w:rsidRDefault="00694C59" w:rsidP="00694C59">
      <w:pPr>
        <w:rPr>
          <w:rFonts w:ascii="Noto Sans" w:hAnsi="Noto Sans" w:cs="Noto Sans"/>
          <w:sz w:val="18"/>
          <w:szCs w:val="18"/>
        </w:rPr>
      </w:pPr>
    </w:p>
    <w:p w14:paraId="3A4CCD8B" w14:textId="705E2473" w:rsidR="00361EFD" w:rsidRDefault="00361EFD" w:rsidP="00361EFD">
      <w:pPr>
        <w:rPr>
          <w:rFonts w:ascii="Noto Sans" w:hAnsi="Noto Sans" w:cs="Noto Sans"/>
          <w:b/>
          <w:bCs/>
          <w:sz w:val="28"/>
          <w:szCs w:val="28"/>
          <w:lang w:val="es-MX"/>
        </w:rPr>
      </w:pPr>
      <w:r w:rsidRPr="00361EFD">
        <w:rPr>
          <w:rFonts w:ascii="Noto Sans" w:hAnsi="Noto Sans" w:cs="Noto Sans"/>
          <w:b/>
          <w:bCs/>
          <w:sz w:val="28"/>
          <w:szCs w:val="28"/>
          <w:lang w:val="es-MX"/>
        </w:rPr>
        <w:t>Glosario – Prontuario – Datos Abiertos</w:t>
      </w:r>
    </w:p>
    <w:p w14:paraId="66A94916" w14:textId="77777777" w:rsidR="00361EFD" w:rsidRPr="00361EFD" w:rsidRDefault="00361EFD" w:rsidP="00361EFD">
      <w:pPr>
        <w:rPr>
          <w:rFonts w:ascii="Noto Sans" w:hAnsi="Noto Sans" w:cs="Noto Sans"/>
          <w:b/>
          <w:bCs/>
          <w:sz w:val="28"/>
          <w:szCs w:val="28"/>
          <w:lang w:val="es-MX"/>
        </w:rPr>
      </w:pPr>
    </w:p>
    <w:p w14:paraId="2F761B20" w14:textId="77777777" w:rsidR="00361EFD" w:rsidRPr="00361EFD" w:rsidRDefault="00361EFD" w:rsidP="00361EFD">
      <w:pPr>
        <w:rPr>
          <w:rFonts w:ascii="Noto Sans" w:hAnsi="Noto Sans" w:cs="Noto Sans"/>
          <w:b/>
          <w:bCs/>
          <w:lang w:val="es-MX"/>
        </w:rPr>
      </w:pPr>
      <w:r w:rsidRPr="00361EFD">
        <w:rPr>
          <w:rFonts w:ascii="Noto Sans" w:hAnsi="Noto Sans" w:cs="Noto Sans"/>
          <w:b/>
          <w:bCs/>
          <w:lang w:val="es-MX"/>
        </w:rPr>
        <w:t>1.- Conjunto Carta de Programación.</w:t>
      </w:r>
    </w:p>
    <w:p w14:paraId="67CA6677" w14:textId="0119DB97" w:rsidR="00361EFD" w:rsidRDefault="00361EFD" w:rsidP="00361EFD">
      <w:pPr>
        <w:jc w:val="both"/>
        <w:rPr>
          <w:rFonts w:ascii="Noto Sans" w:hAnsi="Noto Sans" w:cs="Noto Sans"/>
          <w:lang w:val="es-MX"/>
        </w:rPr>
      </w:pPr>
      <w:r w:rsidRPr="00361EFD">
        <w:rPr>
          <w:rFonts w:ascii="Noto Sans" w:hAnsi="Noto Sans" w:cs="Noto Sans"/>
          <w:lang w:val="es-MX"/>
        </w:rPr>
        <w:t>Nos muestra los contenidos que se transmitirán, los días y horarios, correspondiente a un mes determinado para la Carta de Programación Nacional, Carta de Programación Internacional y Carta de Programación Once2 (Niñas y Niños).</w:t>
      </w:r>
    </w:p>
    <w:p w14:paraId="5809F204" w14:textId="77777777" w:rsidR="00361EFD" w:rsidRPr="00361EFD" w:rsidRDefault="00361EFD" w:rsidP="00361EFD">
      <w:pPr>
        <w:jc w:val="both"/>
        <w:rPr>
          <w:rFonts w:ascii="Noto Sans" w:hAnsi="Noto Sans" w:cs="Noto Sans"/>
          <w:lang w:val="es-MX"/>
        </w:rPr>
      </w:pPr>
    </w:p>
    <w:p w14:paraId="5AC9D6FE" w14:textId="1D6E919D" w:rsidR="00361EFD" w:rsidRPr="00361EFD" w:rsidRDefault="00361EFD" w:rsidP="00361EFD">
      <w:pPr>
        <w:jc w:val="both"/>
        <w:rPr>
          <w:rFonts w:ascii="Noto Sans" w:hAnsi="Noto Sans" w:cs="Noto Sans"/>
          <w:b/>
          <w:bCs/>
          <w:lang w:val="es-MX"/>
        </w:rPr>
      </w:pPr>
      <w:r w:rsidRPr="00361EFD">
        <w:rPr>
          <w:rFonts w:ascii="Noto Sans" w:hAnsi="Noto Sans" w:cs="Noto Sans"/>
          <w:b/>
          <w:bCs/>
          <w:lang w:val="es-MX"/>
        </w:rPr>
        <w:t>2.- Conjunto Estados Financieros Canal Once</w:t>
      </w:r>
      <w:r>
        <w:rPr>
          <w:rFonts w:ascii="Noto Sans" w:hAnsi="Noto Sans" w:cs="Noto Sans"/>
          <w:b/>
          <w:bCs/>
          <w:lang w:val="es-MX"/>
        </w:rPr>
        <w:t>.</w:t>
      </w:r>
    </w:p>
    <w:p w14:paraId="5ACE631C" w14:textId="1F98B7DF" w:rsidR="00361EFD" w:rsidRPr="00361EFD" w:rsidRDefault="00361EFD" w:rsidP="00361EFD">
      <w:pPr>
        <w:jc w:val="both"/>
        <w:rPr>
          <w:rFonts w:ascii="Noto Sans" w:hAnsi="Noto Sans" w:cs="Noto Sans"/>
          <w:lang w:val="es-MX"/>
        </w:rPr>
      </w:pPr>
      <w:r w:rsidRPr="00361EFD">
        <w:rPr>
          <w:rFonts w:ascii="Noto Sans" w:hAnsi="Noto Sans" w:cs="Noto Sans"/>
          <w:lang w:val="es-MX"/>
        </w:rPr>
        <w:t xml:space="preserve">Informes </w:t>
      </w:r>
      <w:r>
        <w:rPr>
          <w:rFonts w:ascii="Noto Sans" w:hAnsi="Noto Sans" w:cs="Noto Sans"/>
          <w:lang w:val="es-MX"/>
        </w:rPr>
        <w:t xml:space="preserve">trimestrales </w:t>
      </w:r>
      <w:r w:rsidRPr="00361EFD">
        <w:rPr>
          <w:rFonts w:ascii="Noto Sans" w:hAnsi="Noto Sans" w:cs="Noto Sans"/>
          <w:lang w:val="es-MX"/>
        </w:rPr>
        <w:t>que reflejan el estado financiero de la institución, con relación al estado de actividades, estado de situación financiera, estado de variación en la hacienda pública, estado de cambios en la situación financiera y el estado analítico del activo.</w:t>
      </w:r>
    </w:p>
    <w:p w14:paraId="44F28B2B" w14:textId="77777777" w:rsidR="00361EFD" w:rsidRPr="00361EFD" w:rsidRDefault="00361EFD" w:rsidP="00361EFD">
      <w:pPr>
        <w:jc w:val="both"/>
        <w:rPr>
          <w:rFonts w:ascii="Noto Sans" w:hAnsi="Noto Sans" w:cs="Noto Sans"/>
          <w:b/>
          <w:bCs/>
          <w:lang w:val="es-MX"/>
        </w:rPr>
      </w:pPr>
    </w:p>
    <w:p w14:paraId="3ABCFE11" w14:textId="31838413" w:rsidR="00361EFD" w:rsidRPr="00361EFD" w:rsidRDefault="00361EFD" w:rsidP="00361EFD">
      <w:pPr>
        <w:jc w:val="both"/>
        <w:rPr>
          <w:rFonts w:ascii="Noto Sans" w:hAnsi="Noto Sans" w:cs="Noto Sans"/>
          <w:b/>
          <w:bCs/>
          <w:lang w:val="es-MX"/>
        </w:rPr>
      </w:pPr>
      <w:r w:rsidRPr="00361EFD">
        <w:rPr>
          <w:rFonts w:ascii="Noto Sans" w:hAnsi="Noto Sans" w:cs="Noto Sans"/>
          <w:b/>
          <w:bCs/>
          <w:lang w:val="es-MX"/>
        </w:rPr>
        <w:t>3.- Conjunto Relación de Bienes Muebles</w:t>
      </w:r>
      <w:r>
        <w:rPr>
          <w:rFonts w:ascii="Noto Sans" w:hAnsi="Noto Sans" w:cs="Noto Sans"/>
          <w:b/>
          <w:bCs/>
          <w:lang w:val="es-MX"/>
        </w:rPr>
        <w:t>.</w:t>
      </w:r>
    </w:p>
    <w:p w14:paraId="6C04F559" w14:textId="5051D3D5" w:rsidR="00361EFD" w:rsidRDefault="00361EFD" w:rsidP="00361EFD">
      <w:pPr>
        <w:jc w:val="both"/>
        <w:rPr>
          <w:rFonts w:ascii="Noto Sans" w:hAnsi="Noto Sans" w:cs="Noto Sans"/>
          <w:lang w:val="es-MX"/>
        </w:rPr>
      </w:pPr>
      <w:r w:rsidRPr="00361EFD">
        <w:rPr>
          <w:rFonts w:ascii="Noto Sans" w:hAnsi="Noto Sans" w:cs="Noto Sans"/>
          <w:lang w:val="es-MX"/>
        </w:rPr>
        <w:t xml:space="preserve">Documento </w:t>
      </w:r>
      <w:r>
        <w:rPr>
          <w:rFonts w:ascii="Noto Sans" w:hAnsi="Noto Sans" w:cs="Noto Sans"/>
          <w:lang w:val="es-MX"/>
        </w:rPr>
        <w:t xml:space="preserve">semestral </w:t>
      </w:r>
      <w:r w:rsidRPr="00361EFD">
        <w:rPr>
          <w:rFonts w:ascii="Noto Sans" w:hAnsi="Noto Sans" w:cs="Noto Sans"/>
          <w:lang w:val="es-MX"/>
        </w:rPr>
        <w:t>que muestra el inventario de bienes muebles, donde se muestra la subcuenta contable, objeto del gasto, número de inventario, cantidad, descripción del bien, fecha de adquisición y monto del bien.</w:t>
      </w:r>
    </w:p>
    <w:p w14:paraId="42889DDE" w14:textId="77777777" w:rsidR="00361EFD" w:rsidRPr="00361EFD" w:rsidRDefault="00361EFD" w:rsidP="00361EFD">
      <w:pPr>
        <w:jc w:val="both"/>
        <w:rPr>
          <w:rFonts w:ascii="Noto Sans" w:hAnsi="Noto Sans" w:cs="Noto Sans"/>
          <w:lang w:val="es-MX"/>
        </w:rPr>
      </w:pPr>
    </w:p>
    <w:p w14:paraId="154552AB" w14:textId="3FEAE5ED" w:rsidR="00361EFD" w:rsidRPr="00361EFD" w:rsidRDefault="00361EFD" w:rsidP="00361EFD">
      <w:pPr>
        <w:jc w:val="both"/>
        <w:rPr>
          <w:rFonts w:ascii="Noto Sans" w:hAnsi="Noto Sans" w:cs="Noto Sans"/>
          <w:b/>
          <w:bCs/>
          <w:lang w:val="es-MX"/>
        </w:rPr>
      </w:pPr>
      <w:r w:rsidRPr="00361EFD">
        <w:rPr>
          <w:rFonts w:ascii="Noto Sans" w:hAnsi="Noto Sans" w:cs="Noto Sans"/>
          <w:b/>
          <w:bCs/>
          <w:lang w:val="es-MX"/>
        </w:rPr>
        <w:t>4.- Conjunto Cobertura de Canal Once</w:t>
      </w:r>
      <w:r>
        <w:rPr>
          <w:rFonts w:ascii="Noto Sans" w:hAnsi="Noto Sans" w:cs="Noto Sans"/>
          <w:b/>
          <w:bCs/>
          <w:lang w:val="es-MX"/>
        </w:rPr>
        <w:t>.</w:t>
      </w:r>
    </w:p>
    <w:p w14:paraId="6E3F4CA7" w14:textId="58DD99C3" w:rsidR="00361EFD" w:rsidRDefault="00361EFD" w:rsidP="00361EFD">
      <w:pPr>
        <w:jc w:val="both"/>
        <w:rPr>
          <w:rFonts w:ascii="Noto Sans" w:hAnsi="Noto Sans" w:cs="Noto Sans"/>
          <w:lang w:val="es-MX"/>
        </w:rPr>
      </w:pPr>
      <w:r w:rsidRPr="00361EFD">
        <w:rPr>
          <w:rFonts w:ascii="Noto Sans" w:hAnsi="Noto Sans" w:cs="Noto Sans"/>
          <w:lang w:val="es-MX"/>
        </w:rPr>
        <w:t xml:space="preserve">Documento </w:t>
      </w:r>
      <w:r>
        <w:rPr>
          <w:rFonts w:ascii="Noto Sans" w:hAnsi="Noto Sans" w:cs="Noto Sans"/>
          <w:lang w:val="es-MX"/>
        </w:rPr>
        <w:t xml:space="preserve">anual </w:t>
      </w:r>
      <w:r w:rsidRPr="00361EFD">
        <w:rPr>
          <w:rFonts w:ascii="Noto Sans" w:hAnsi="Noto Sans" w:cs="Noto Sans"/>
          <w:lang w:val="es-MX"/>
        </w:rPr>
        <w:t>que muestra el alcance de la cobertura de</w:t>
      </w:r>
      <w:r>
        <w:rPr>
          <w:rFonts w:ascii="Noto Sans" w:hAnsi="Noto Sans" w:cs="Noto Sans"/>
          <w:lang w:val="es-MX"/>
        </w:rPr>
        <w:t xml:space="preserve"> Canal</w:t>
      </w:r>
      <w:r w:rsidRPr="00361EFD">
        <w:rPr>
          <w:rFonts w:ascii="Noto Sans" w:hAnsi="Noto Sans" w:cs="Noto Sans"/>
          <w:lang w:val="es-MX"/>
        </w:rPr>
        <w:t xml:space="preserve"> Once, con recursos propios, con convenios con los Estados y a través del SPR (Sistema Público de Radiodifusión del Estado Mexicano), mostrando la ciudad / estado, la frecuencia de la repetidora, la cobertura de hombres y mujeres, que totaliza la cobertura de habitantes, cobertura de tv hogares y el índice de cobertura.</w:t>
      </w:r>
    </w:p>
    <w:p w14:paraId="0031CA91" w14:textId="77777777" w:rsidR="00361EFD" w:rsidRPr="00361EFD" w:rsidRDefault="00361EFD" w:rsidP="00361EFD">
      <w:pPr>
        <w:jc w:val="both"/>
        <w:rPr>
          <w:rFonts w:ascii="Noto Sans" w:hAnsi="Noto Sans" w:cs="Noto Sans"/>
          <w:lang w:val="es-MX"/>
        </w:rPr>
      </w:pPr>
    </w:p>
    <w:p w14:paraId="0D6CA067" w14:textId="4860AD73" w:rsidR="00361EFD" w:rsidRPr="00361EFD" w:rsidRDefault="00361EFD" w:rsidP="00361EFD">
      <w:pPr>
        <w:jc w:val="both"/>
        <w:rPr>
          <w:rFonts w:ascii="Noto Sans" w:hAnsi="Noto Sans" w:cs="Noto Sans"/>
          <w:b/>
          <w:bCs/>
          <w:lang w:val="es-MX"/>
        </w:rPr>
      </w:pPr>
      <w:r w:rsidRPr="00361EFD">
        <w:rPr>
          <w:rFonts w:ascii="Noto Sans" w:hAnsi="Noto Sans" w:cs="Noto Sans"/>
          <w:b/>
          <w:bCs/>
          <w:lang w:val="es-MX"/>
        </w:rPr>
        <w:t>5.- Conjunto Alta, Bajas o Cambios, de los Prestadores de Servicios Profesionales</w:t>
      </w:r>
      <w:r>
        <w:rPr>
          <w:rFonts w:ascii="Noto Sans" w:hAnsi="Noto Sans" w:cs="Noto Sans"/>
          <w:b/>
          <w:bCs/>
          <w:lang w:val="es-MX"/>
        </w:rPr>
        <w:t>.</w:t>
      </w:r>
    </w:p>
    <w:p w14:paraId="1C9FB91F" w14:textId="1AF786E1" w:rsidR="00492F7E" w:rsidRPr="00EE4DB0" w:rsidRDefault="00361EFD" w:rsidP="00361EFD">
      <w:pPr>
        <w:jc w:val="both"/>
        <w:rPr>
          <w:rFonts w:ascii="Noto Sans" w:hAnsi="Noto Sans" w:cs="Noto Sans"/>
          <w:lang w:val="es-MX"/>
        </w:rPr>
      </w:pPr>
      <w:r w:rsidRPr="00361EFD">
        <w:rPr>
          <w:rFonts w:ascii="Noto Sans" w:hAnsi="Noto Sans" w:cs="Noto Sans"/>
          <w:lang w:val="es-MX"/>
        </w:rPr>
        <w:t xml:space="preserve">Documento quincenal que muestra las altas, bajas y cambios de los Prestadores de Servicios Profesionales de </w:t>
      </w:r>
      <w:r w:rsidR="00EE4DB0">
        <w:rPr>
          <w:rFonts w:ascii="Noto Sans" w:hAnsi="Noto Sans" w:cs="Noto Sans"/>
          <w:lang w:val="es-MX"/>
        </w:rPr>
        <w:t>Canal</w:t>
      </w:r>
      <w:r w:rsidRPr="00361EFD">
        <w:rPr>
          <w:rFonts w:ascii="Noto Sans" w:hAnsi="Noto Sans" w:cs="Noto Sans"/>
          <w:lang w:val="es-MX"/>
        </w:rPr>
        <w:t xml:space="preserve"> Once, identificando el nombre de la persona, el área, el puesto, señalando si es alta, cambio o baja</w:t>
      </w:r>
      <w:r>
        <w:rPr>
          <w:rFonts w:ascii="Noto Sans" w:hAnsi="Noto Sans" w:cs="Noto Sans"/>
          <w:lang w:val="es-MX"/>
        </w:rPr>
        <w:t xml:space="preserve"> </w:t>
      </w:r>
      <w:r w:rsidRPr="00361EFD">
        <w:rPr>
          <w:rFonts w:ascii="Noto Sans" w:hAnsi="Noto Sans" w:cs="Noto Sans"/>
          <w:lang w:val="es-MX"/>
        </w:rPr>
        <w:t>y la fecha de aplicación.</w:t>
      </w:r>
    </w:p>
    <w:p w14:paraId="368DA1F8" w14:textId="77777777" w:rsidR="002C751C" w:rsidRPr="00EE4DB0" w:rsidRDefault="002C751C">
      <w:pPr>
        <w:rPr>
          <w:lang w:val="es-MX"/>
        </w:rPr>
      </w:pPr>
    </w:p>
    <w:sectPr w:rsidR="002C751C" w:rsidRPr="00EE4DB0" w:rsidSect="00A73D65">
      <w:headerReference w:type="default" r:id="rId6"/>
      <w:pgSz w:w="12240" w:h="15840"/>
      <w:pgMar w:top="23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0BC4" w14:textId="77777777" w:rsidR="00CF53A9" w:rsidRDefault="00CF53A9" w:rsidP="007C2AD6">
      <w:r>
        <w:separator/>
      </w:r>
    </w:p>
  </w:endnote>
  <w:endnote w:type="continuationSeparator" w:id="0">
    <w:p w14:paraId="599B227E" w14:textId="77777777" w:rsidR="00CF53A9" w:rsidRDefault="00CF53A9" w:rsidP="007C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F1763" w14:textId="77777777" w:rsidR="00CF53A9" w:rsidRDefault="00CF53A9" w:rsidP="007C2AD6">
      <w:r>
        <w:separator/>
      </w:r>
    </w:p>
  </w:footnote>
  <w:footnote w:type="continuationSeparator" w:id="0">
    <w:p w14:paraId="6C5BB4E8" w14:textId="77777777" w:rsidR="00CF53A9" w:rsidRDefault="00CF53A9" w:rsidP="007C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7D58D" w14:textId="3FA13EFD" w:rsidR="00E1043F" w:rsidRDefault="002C5639">
    <w:pPr>
      <w:pStyle w:val="Encabezado"/>
    </w:pPr>
    <w:r>
      <w:rPr>
        <w:noProof/>
        <w14:ligatures w14:val="standardContextual"/>
      </w:rPr>
      <w:drawing>
        <wp:anchor distT="0" distB="0" distL="114300" distR="114300" simplePos="0" relativeHeight="251663359" behindDoc="1" locked="0" layoutInCell="1" allowOverlap="1" wp14:anchorId="7B6EEAB8" wp14:editId="6CF8B240">
          <wp:simplePos x="0" y="0"/>
          <wp:positionH relativeFrom="column">
            <wp:posOffset>-1089025</wp:posOffset>
          </wp:positionH>
          <wp:positionV relativeFrom="paragraph">
            <wp:posOffset>-416873</wp:posOffset>
          </wp:positionV>
          <wp:extent cx="7848317" cy="10156646"/>
          <wp:effectExtent l="0" t="0" r="635" b="0"/>
          <wp:wrapNone/>
          <wp:docPr id="163122593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48317" cy="1015664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D6"/>
    <w:rsid w:val="00012004"/>
    <w:rsid w:val="000E3264"/>
    <w:rsid w:val="001011EC"/>
    <w:rsid w:val="001447FE"/>
    <w:rsid w:val="00160AF4"/>
    <w:rsid w:val="001824F1"/>
    <w:rsid w:val="001A1394"/>
    <w:rsid w:val="001B4F83"/>
    <w:rsid w:val="0025294A"/>
    <w:rsid w:val="00254B63"/>
    <w:rsid w:val="002C5639"/>
    <w:rsid w:val="002C751C"/>
    <w:rsid w:val="002F2C10"/>
    <w:rsid w:val="00361EFD"/>
    <w:rsid w:val="003B531D"/>
    <w:rsid w:val="003D57D4"/>
    <w:rsid w:val="003D6319"/>
    <w:rsid w:val="003E5417"/>
    <w:rsid w:val="003E7C57"/>
    <w:rsid w:val="00444C36"/>
    <w:rsid w:val="00470118"/>
    <w:rsid w:val="00492F7E"/>
    <w:rsid w:val="005261E1"/>
    <w:rsid w:val="00550431"/>
    <w:rsid w:val="005C56A7"/>
    <w:rsid w:val="00600FCD"/>
    <w:rsid w:val="00622FCD"/>
    <w:rsid w:val="00635CF2"/>
    <w:rsid w:val="00647904"/>
    <w:rsid w:val="00685082"/>
    <w:rsid w:val="00694C59"/>
    <w:rsid w:val="00776B1C"/>
    <w:rsid w:val="00780AE7"/>
    <w:rsid w:val="007C2AD6"/>
    <w:rsid w:val="007F0328"/>
    <w:rsid w:val="00814144"/>
    <w:rsid w:val="008D2F4D"/>
    <w:rsid w:val="008E3305"/>
    <w:rsid w:val="00910A36"/>
    <w:rsid w:val="00984B9D"/>
    <w:rsid w:val="00991D6F"/>
    <w:rsid w:val="009B5AEA"/>
    <w:rsid w:val="009E3F82"/>
    <w:rsid w:val="00A124AD"/>
    <w:rsid w:val="00A17C7E"/>
    <w:rsid w:val="00A435DA"/>
    <w:rsid w:val="00A62546"/>
    <w:rsid w:val="00AF0D1E"/>
    <w:rsid w:val="00B16C61"/>
    <w:rsid w:val="00B31E7D"/>
    <w:rsid w:val="00B55C88"/>
    <w:rsid w:val="00C047DF"/>
    <w:rsid w:val="00C2604C"/>
    <w:rsid w:val="00C86C7B"/>
    <w:rsid w:val="00C959FD"/>
    <w:rsid w:val="00CF50CA"/>
    <w:rsid w:val="00CF53A9"/>
    <w:rsid w:val="00D42674"/>
    <w:rsid w:val="00D436F7"/>
    <w:rsid w:val="00D9072D"/>
    <w:rsid w:val="00DA4D03"/>
    <w:rsid w:val="00E1043F"/>
    <w:rsid w:val="00E734F4"/>
    <w:rsid w:val="00E8200D"/>
    <w:rsid w:val="00EE4DB0"/>
    <w:rsid w:val="00EF7B96"/>
    <w:rsid w:val="00F7604B"/>
    <w:rsid w:val="00F93216"/>
    <w:rsid w:val="00FB3116"/>
    <w:rsid w:val="00FD6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1B1D6F"/>
  <w15:chartTrackingRefBased/>
  <w15:docId w15:val="{ED2F41D5-4B05-A248-9009-665C7825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AD6"/>
    <w:rPr>
      <w:rFonts w:eastAsiaTheme="minorEastAsia"/>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AD6"/>
    <w:pPr>
      <w:tabs>
        <w:tab w:val="center" w:pos="4419"/>
        <w:tab w:val="right" w:pos="8838"/>
      </w:tabs>
    </w:pPr>
  </w:style>
  <w:style w:type="character" w:customStyle="1" w:styleId="EncabezadoCar">
    <w:name w:val="Encabezado Car"/>
    <w:basedOn w:val="Fuentedeprrafopredeter"/>
    <w:link w:val="Encabezado"/>
    <w:uiPriority w:val="99"/>
    <w:rsid w:val="007C2AD6"/>
    <w:rPr>
      <w:rFonts w:eastAsiaTheme="minorEastAsia"/>
      <w:kern w:val="0"/>
      <w:lang w:val="es-ES"/>
      <w14:ligatures w14:val="none"/>
    </w:rPr>
  </w:style>
  <w:style w:type="paragraph" w:styleId="Piedepgina">
    <w:name w:val="footer"/>
    <w:basedOn w:val="Normal"/>
    <w:link w:val="PiedepginaCar"/>
    <w:uiPriority w:val="99"/>
    <w:unhideWhenUsed/>
    <w:rsid w:val="007C2AD6"/>
    <w:pPr>
      <w:tabs>
        <w:tab w:val="center" w:pos="4419"/>
        <w:tab w:val="right" w:pos="8838"/>
      </w:tabs>
    </w:pPr>
  </w:style>
  <w:style w:type="character" w:customStyle="1" w:styleId="PiedepginaCar">
    <w:name w:val="Pie de página Car"/>
    <w:basedOn w:val="Fuentedeprrafopredeter"/>
    <w:link w:val="Piedepgina"/>
    <w:uiPriority w:val="99"/>
    <w:rsid w:val="007C2AD6"/>
    <w:rPr>
      <w:rFonts w:eastAsiaTheme="minorEastAsia"/>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1379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Nallely Alba Lazcano</cp:lastModifiedBy>
  <cp:revision>2</cp:revision>
  <cp:lastPrinted>2025-01-07T17:09:00Z</cp:lastPrinted>
  <dcterms:created xsi:type="dcterms:W3CDTF">2025-03-14T18:17:00Z</dcterms:created>
  <dcterms:modified xsi:type="dcterms:W3CDTF">2025-03-14T18:17:00Z</dcterms:modified>
</cp:coreProperties>
</file>